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B4889" w14:textId="77777777" w:rsidR="00332B0E" w:rsidRDefault="00D2146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12</w:t>
      </w:r>
    </w:p>
    <w:p w14:paraId="118A76E1" w14:textId="3FD8FD20" w:rsidR="00332B0E" w:rsidRDefault="00D21465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NOM NIEUWBOUW MET GEGARANDEERDE ENERGIEPRESTATIES versie </w:t>
      </w:r>
      <w:r w:rsidR="0013295A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07FF57AE" w14:textId="77777777" w:rsidR="00332B0E" w:rsidRDefault="00D21465">
      <w:pPr>
        <w:rPr>
          <w:b/>
          <w:sz w:val="20"/>
          <w:szCs w:val="20"/>
        </w:rPr>
      </w:pPr>
      <w:r>
        <w:rPr>
          <w:b/>
          <w:sz w:val="24"/>
          <w:szCs w:val="24"/>
        </w:rPr>
        <w:t>GEDRAGSCODE OMGAAN MET HUURDERS</w:t>
      </w:r>
    </w:p>
    <w:p w14:paraId="69D35BB1" w14:textId="77777777" w:rsidR="00332B0E" w:rsidRDefault="00332B0E">
      <w:pPr>
        <w:rPr>
          <w:b/>
          <w:sz w:val="20"/>
          <w:szCs w:val="20"/>
        </w:rPr>
      </w:pPr>
    </w:p>
    <w:p w14:paraId="6C7178F4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Zo gedragen wij ons tijdens het werk, wij ...</w:t>
      </w:r>
    </w:p>
    <w:p w14:paraId="583A18CF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7D693E4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Houding en beleefdheid</w:t>
      </w:r>
    </w:p>
    <w:p w14:paraId="0DF471BD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zorgen ervoor dat we herkenbare bedrijfskleding dragen en dat ons uiterlijk verzorgd is.</w:t>
      </w:r>
    </w:p>
    <w:p w14:paraId="75BC2651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zijn beleefd en netjes tegen de huurder, andere bewoners en andere betrokkenen.</w:t>
      </w:r>
    </w:p>
    <w:p w14:paraId="4E16D647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gaan niet met de huurder, andere bewoners of derden in discussie over politiek en/of   onderwerpen die controversieel zijn of de belangen van de Afnemer of Leverancier kunnen        schaden.</w:t>
      </w:r>
    </w:p>
    <w:p w14:paraId="5D274E83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gebruiken geen alcohol of drugs voor of tijdens het werk.</w:t>
      </w:r>
    </w:p>
    <w:p w14:paraId="47FBE6EF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roken niet in de Woning of het Complex, ook niet in de directe nabijheid van toegangsdeuren of privé-tuinen.</w:t>
      </w:r>
    </w:p>
    <w:p w14:paraId="25D73585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gebruiken geen radio, iPod of andere geluidsdragers tijdens werkzaamheden.</w:t>
      </w:r>
    </w:p>
    <w:p w14:paraId="4C2CE8DC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tonen altijd ons goede humeur en gebruiken geen scheldwoorden of andere onwelvoeglijke taal.</w:t>
      </w:r>
    </w:p>
    <w:p w14:paraId="71EE2CF1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voeren geen privégesprekken aan de telefoon.</w:t>
      </w:r>
    </w:p>
    <w:p w14:paraId="593EFE67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vegen bij binnenkomst altijd onze voeten, ongeacht de staat van de woning.</w:t>
      </w:r>
    </w:p>
    <w:p w14:paraId="60B2A223" w14:textId="77777777" w:rsidR="00332B0E" w:rsidRDefault="00D2146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vragen altijd toestemming aan de bewoners voor het verplaatsen van privézaken (meubilair).</w:t>
      </w:r>
    </w:p>
    <w:p w14:paraId="4003080F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F58FE24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Terugkoppeling naar Afnemer</w:t>
      </w:r>
    </w:p>
    <w:p w14:paraId="241A8AFD" w14:textId="77777777" w:rsidR="00332B0E" w:rsidRDefault="00D21465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geven onenigheden met of weigeringen van huurders direct door aan de Afnemer.</w:t>
      </w:r>
    </w:p>
    <w:p w14:paraId="2952D292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964E987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Benadering jegens de huurder/bewoners</w:t>
      </w:r>
    </w:p>
    <w:p w14:paraId="5F5FCC9D" w14:textId="77777777" w:rsidR="00332B0E" w:rsidRDefault="00D2146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beschikken altijd over een deugdelijk legitimatiebewijs waaruit blijkt, dat wij in dienst zijn bij       Afnemer of Leverancier. Deze legitimatie wordt, op verzoek, aan de huurder/bewoner(s)    getoond.</w:t>
      </w:r>
    </w:p>
    <w:p w14:paraId="79398470" w14:textId="77777777" w:rsidR="00332B0E" w:rsidRDefault="00D21465" w:rsidP="00FB1D81">
      <w:pPr>
        <w:numPr>
          <w:ilvl w:val="0"/>
          <w:numId w:val="1"/>
        </w:numPr>
        <w:ind w:left="709" w:hanging="349"/>
        <w:rPr>
          <w:sz w:val="20"/>
          <w:szCs w:val="20"/>
        </w:rPr>
      </w:pPr>
      <w:r>
        <w:rPr>
          <w:sz w:val="20"/>
          <w:szCs w:val="20"/>
        </w:rPr>
        <w:t xml:space="preserve">informeren de huurder/bewoner(s) bij binnenkomst over het doel van het bezoek, onder   verwijzing naar de daarover gemaakte afspraak met de Afnemer (inclusief de verwachte  </w:t>
      </w:r>
      <w:r>
        <w:rPr>
          <w:sz w:val="20"/>
          <w:szCs w:val="20"/>
        </w:rPr>
        <w:tab/>
        <w:t>tijdsduur).</w:t>
      </w:r>
    </w:p>
    <w:p w14:paraId="2E9AC1FC" w14:textId="77777777" w:rsidR="00332B0E" w:rsidRDefault="00D2146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informeren bij het verlaten van het onderhoudsadres of de huurder/bewoner(s) tevreden is,      laten de werkbon of opleveringsverklaring aftekenen, lichten toe</w:t>
      </w:r>
    </w:p>
    <w:p w14:paraId="0210BFC9" w14:textId="77777777" w:rsidR="00332B0E" w:rsidRDefault="00D2146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welke werkzaamheden zijn uitgevoerd en adviseren zo nodig wanneer het onderwerp van        de werkzaamheden weer in zijn geheel benut kan worden.</w:t>
      </w:r>
    </w:p>
    <w:p w14:paraId="579A3053" w14:textId="77777777" w:rsidR="00332B0E" w:rsidRDefault="00D21465" w:rsidP="00FB1D81">
      <w:pPr>
        <w:numPr>
          <w:ilvl w:val="0"/>
          <w:numId w:val="1"/>
        </w:numPr>
        <w:ind w:left="426" w:hanging="66"/>
        <w:rPr>
          <w:sz w:val="20"/>
          <w:szCs w:val="20"/>
        </w:rPr>
      </w:pPr>
      <w:r>
        <w:rPr>
          <w:sz w:val="20"/>
          <w:szCs w:val="20"/>
        </w:rPr>
        <w:t xml:space="preserve">informeren bij werkzaamheden in de nabijheid van maar wel buiten de Woning de        </w:t>
      </w:r>
      <w:r>
        <w:rPr>
          <w:sz w:val="20"/>
          <w:szCs w:val="20"/>
        </w:rPr>
        <w:tab/>
        <w:t>huurder via een melding in de brievenbus.</w:t>
      </w:r>
    </w:p>
    <w:p w14:paraId="513CC3BC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2DDD23" w14:textId="7A944E76" w:rsidR="00FB1D81" w:rsidRDefault="00FB1D8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1895963" w14:textId="77777777" w:rsidR="004D5D28" w:rsidRPr="004D5D28" w:rsidRDefault="004D5D28" w:rsidP="004D5D28">
      <w:pPr>
        <w:rPr>
          <w:sz w:val="20"/>
          <w:szCs w:val="20"/>
        </w:rPr>
      </w:pPr>
    </w:p>
    <w:p w14:paraId="7D37045A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Voorkomen van schade</w:t>
      </w:r>
    </w:p>
    <w:p w14:paraId="42AEE549" w14:textId="77777777" w:rsidR="00332B0E" w:rsidRDefault="00D2146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nemen maatregelen ter bescherming van eigendommen van de huurder/bewoner(s) en derden </w:t>
      </w:r>
      <w:r>
        <w:rPr>
          <w:sz w:val="20"/>
          <w:szCs w:val="20"/>
        </w:rPr>
        <w:tab/>
        <w:t>tegen vervuiling en beschadiging.</w:t>
      </w:r>
    </w:p>
    <w:p w14:paraId="4A9EED46" w14:textId="77777777" w:rsidR="00332B0E" w:rsidRDefault="00D2146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voorkomen tijdens het uitvoeren van de werkzaamheden zoveel als mogelijk hinder en overlast.</w:t>
      </w:r>
    </w:p>
    <w:p w14:paraId="4E016268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2910AA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Handelwijze bij schade</w:t>
      </w:r>
    </w:p>
    <w:p w14:paraId="10711E48" w14:textId="77777777" w:rsidR="00332B0E" w:rsidRDefault="00D2146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melden schades direct aan de huurder/bewoner(s) en aan de Afnemer gemeld. Behoudens      andersluidende instructie van de Afnemer worden schades door de Leverancier zelf, naar        tevredenheid van de huurder, afgehandeld.</w:t>
      </w:r>
    </w:p>
    <w:p w14:paraId="5EA35F6F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9116C4" w14:textId="77777777" w:rsidR="00332B0E" w:rsidRDefault="00D21465">
      <w:pPr>
        <w:rPr>
          <w:b/>
          <w:sz w:val="20"/>
          <w:szCs w:val="20"/>
        </w:rPr>
      </w:pPr>
      <w:r>
        <w:rPr>
          <w:b/>
          <w:sz w:val="20"/>
          <w:szCs w:val="20"/>
        </w:rPr>
        <w:t>Opruimen/schoonmaken</w:t>
      </w:r>
    </w:p>
    <w:p w14:paraId="25233732" w14:textId="77777777" w:rsidR="00332B0E" w:rsidRDefault="00D2146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laten na afloop de plaats waar de werkzaamheden zijn verricht netjes en opgeruimd achter, in  dezelfde staat als die waarin wij deze bij binnenkomst aantroffen. Bij meerdaagse</w:t>
      </w:r>
      <w:r w:rsidR="00FB1D81">
        <w:rPr>
          <w:sz w:val="20"/>
          <w:szCs w:val="20"/>
        </w:rPr>
        <w:t xml:space="preserve"> </w:t>
      </w:r>
      <w:r>
        <w:rPr>
          <w:sz w:val="20"/>
          <w:szCs w:val="20"/>
        </w:rPr>
        <w:t>werkzaamheden worden iedere dag gebruikte schuif- en vaste ladders gestreken en worden steigers veilig achtergelaten.</w:t>
      </w:r>
    </w:p>
    <w:p w14:paraId="53093269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2DFB74B" w14:textId="77777777" w:rsidR="00332B0E" w:rsidRDefault="00D2146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ab/>
        <w:t>-=-=-=-=-=-=-=-=-=-</w:t>
      </w:r>
    </w:p>
    <w:p w14:paraId="7B878738" w14:textId="77777777" w:rsidR="00332B0E" w:rsidRDefault="00332B0E">
      <w:pPr>
        <w:rPr>
          <w:sz w:val="20"/>
          <w:szCs w:val="20"/>
        </w:rPr>
      </w:pPr>
    </w:p>
    <w:sectPr w:rsidR="00332B0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2ADE" w14:textId="77777777" w:rsidR="00FE2D5C" w:rsidRDefault="00FE2D5C">
      <w:pPr>
        <w:spacing w:line="240" w:lineRule="auto"/>
      </w:pPr>
      <w:r>
        <w:separator/>
      </w:r>
    </w:p>
  </w:endnote>
  <w:endnote w:type="continuationSeparator" w:id="0">
    <w:p w14:paraId="5ED4D4B6" w14:textId="77777777" w:rsidR="00FE2D5C" w:rsidRDefault="00FE2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B20A" w14:textId="77777777" w:rsidR="00332B0E" w:rsidRDefault="00332B0E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332B0E" w14:paraId="0E63A3C5" w14:textId="77777777">
      <w:tc>
        <w:tcPr>
          <w:tcW w:w="3607" w:type="dxa"/>
        </w:tcPr>
        <w:p w14:paraId="63881A9F" w14:textId="77777777" w:rsidR="00332B0E" w:rsidRDefault="00D21465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Model Afnameovereenkomst Nieuwbouw Bijlage 12</w:t>
          </w:r>
        </w:p>
      </w:tc>
      <w:tc>
        <w:tcPr>
          <w:tcW w:w="2446" w:type="dxa"/>
        </w:tcPr>
        <w:p w14:paraId="777242AA" w14:textId="77777777" w:rsidR="00332B0E" w:rsidRDefault="004D5D28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546F2C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546F2C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2</w:t>
          </w:r>
          <w:r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75746C17" w14:textId="0D298A0A" w:rsidR="00332B0E" w:rsidRDefault="0013295A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D21465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332B0E" w14:paraId="45248583" w14:textId="77777777">
      <w:tc>
        <w:tcPr>
          <w:tcW w:w="3607" w:type="dxa"/>
        </w:tcPr>
        <w:p w14:paraId="1F8E8852" w14:textId="77777777" w:rsidR="00332B0E" w:rsidRDefault="00D21465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3A107DC4" w14:textId="77777777" w:rsidR="00332B0E" w:rsidRDefault="00D21465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25B5A916" w14:textId="77777777" w:rsidR="00332B0E" w:rsidRDefault="00D21465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2522C83C" w14:textId="77777777" w:rsidR="00332B0E" w:rsidRDefault="00332B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E9036" w14:textId="77777777" w:rsidR="00FE2D5C" w:rsidRDefault="00FE2D5C">
      <w:pPr>
        <w:spacing w:line="240" w:lineRule="auto"/>
      </w:pPr>
      <w:r>
        <w:separator/>
      </w:r>
    </w:p>
  </w:footnote>
  <w:footnote w:type="continuationSeparator" w:id="0">
    <w:p w14:paraId="66BBE164" w14:textId="77777777" w:rsidR="00FE2D5C" w:rsidRDefault="00FE2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9568" w14:textId="77777777" w:rsidR="00332B0E" w:rsidRDefault="00332B0E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332B0E" w14:paraId="53FE6F39" w14:textId="77777777">
      <w:tc>
        <w:tcPr>
          <w:tcW w:w="3020" w:type="dxa"/>
          <w:vAlign w:val="center"/>
        </w:tcPr>
        <w:p w14:paraId="124093C5" w14:textId="77777777" w:rsidR="00332B0E" w:rsidRDefault="00D21465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2D899E65" wp14:editId="138E59D7">
                <wp:extent cx="1174105" cy="902593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71B000" w14:textId="77777777" w:rsidR="00332B0E" w:rsidRDefault="00D21465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57195C14" wp14:editId="02EE5658">
                <wp:extent cx="986603" cy="671297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E79DC1E" w14:textId="77777777" w:rsidR="00332B0E" w:rsidRDefault="00D21465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0C7310BD" wp14:editId="3555E0EE">
                <wp:extent cx="1552214" cy="5731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2FDAF27" w14:textId="77777777" w:rsidR="00332B0E" w:rsidRDefault="00332B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88E"/>
    <w:multiLevelType w:val="multilevel"/>
    <w:tmpl w:val="B3B47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2948D1"/>
    <w:multiLevelType w:val="multilevel"/>
    <w:tmpl w:val="63ECD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751500"/>
    <w:multiLevelType w:val="multilevel"/>
    <w:tmpl w:val="8EAE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5E5DFA"/>
    <w:multiLevelType w:val="multilevel"/>
    <w:tmpl w:val="07E67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B32F37"/>
    <w:multiLevelType w:val="multilevel"/>
    <w:tmpl w:val="35B0E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AD7B27"/>
    <w:multiLevelType w:val="multilevel"/>
    <w:tmpl w:val="A66C1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E"/>
    <w:rsid w:val="0013295A"/>
    <w:rsid w:val="00332B0E"/>
    <w:rsid w:val="004D5D28"/>
    <w:rsid w:val="00546F2C"/>
    <w:rsid w:val="00D21465"/>
    <w:rsid w:val="00DC7D8C"/>
    <w:rsid w:val="00F52B0C"/>
    <w:rsid w:val="00FB1D81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31EF"/>
  <w15:docId w15:val="{611700B0-D276-41A4-9DC1-8846E53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1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1D8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B1D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1D81"/>
  </w:style>
  <w:style w:type="paragraph" w:styleId="Voettekst">
    <w:name w:val="footer"/>
    <w:basedOn w:val="Standaard"/>
    <w:link w:val="VoettekstChar"/>
    <w:uiPriority w:val="99"/>
    <w:unhideWhenUsed/>
    <w:rsid w:val="00FB1D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2019-08-14T08:10:00Z</dcterms:created>
  <dcterms:modified xsi:type="dcterms:W3CDTF">2019-08-14T08:10:00Z</dcterms:modified>
</cp:coreProperties>
</file>