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F048A" w14:textId="77777777" w:rsidR="00CD013C" w:rsidRDefault="00CD013C" w:rsidP="00CD013C">
      <w:pPr>
        <w:textAlignment w:val="baseline"/>
        <w:rPr>
          <w:rFonts w:ascii="Segoe UI" w:eastAsiaTheme="minorHAnsi" w:hAnsi="Segoe UI" w:cs="Segoe UI"/>
          <w:sz w:val="18"/>
          <w:szCs w:val="18"/>
          <w:lang w:eastAsia="nl-NL"/>
        </w:rPr>
      </w:pPr>
      <w:r>
        <w:rPr>
          <w:rFonts w:ascii="Verdana" w:hAnsi="Verdana"/>
          <w:b/>
          <w:bCs/>
          <w:sz w:val="18"/>
          <w:szCs w:val="18"/>
          <w:lang w:eastAsia="nl-NL"/>
        </w:rPr>
        <w:t>Clausule A (geen opleverdossier)</w:t>
      </w:r>
      <w:r>
        <w:rPr>
          <w:rFonts w:ascii="Verdana" w:hAnsi="Verdana"/>
          <w:sz w:val="18"/>
          <w:szCs w:val="18"/>
          <w:lang w:eastAsia="nl-NL"/>
        </w:rPr>
        <w:t> </w:t>
      </w:r>
    </w:p>
    <w:p w14:paraId="6FEDDC20" w14:textId="77777777" w:rsidR="00CD013C" w:rsidRDefault="00CD013C" w:rsidP="00CD013C">
      <w:pPr>
        <w:textAlignment w:val="baseline"/>
        <w:rPr>
          <w:rFonts w:ascii="Segoe UI" w:hAnsi="Segoe UI" w:cs="Segoe UI"/>
          <w:sz w:val="18"/>
          <w:szCs w:val="18"/>
          <w:lang w:eastAsia="nl-NL"/>
        </w:rPr>
      </w:pPr>
      <w:r>
        <w:rPr>
          <w:rFonts w:ascii="Verdana" w:hAnsi="Verdana"/>
          <w:sz w:val="18"/>
          <w:szCs w:val="18"/>
          <w:lang w:eastAsia="nl-NL"/>
        </w:rPr>
        <w:t>Indien de Wet kwaliteitsborging voor het bouwen (Staatsblad 2019, 382) in werking is getreden, verstrekt de aannemer in afwijking van artikel 7:757a van het Burgerlijk Wetboek geen dossier aan de opdrachtgever met betrekking tot het tot stand gebrachte bouwwerk.  </w:t>
      </w:r>
    </w:p>
    <w:p w14:paraId="3550A91C" w14:textId="6CFD2BA4" w:rsidR="00CD013C" w:rsidRDefault="00CD013C" w:rsidP="00CD013C">
      <w:pPr>
        <w:textAlignment w:val="baseline"/>
        <w:rPr>
          <w:rFonts w:ascii="Segoe UI" w:hAnsi="Segoe UI" w:cs="Segoe UI"/>
          <w:sz w:val="18"/>
          <w:szCs w:val="18"/>
          <w:lang w:eastAsia="nl-NL"/>
        </w:rPr>
      </w:pPr>
      <w:r>
        <w:rPr>
          <w:rFonts w:ascii="Verdana" w:hAnsi="Verdana"/>
          <w:sz w:val="18"/>
          <w:szCs w:val="18"/>
          <w:lang w:eastAsia="nl-NL"/>
        </w:rPr>
        <w:t> </w:t>
      </w:r>
      <w:r>
        <w:rPr>
          <w:rFonts w:ascii="Verdana" w:hAnsi="Verdana"/>
          <w:b/>
          <w:bCs/>
          <w:sz w:val="18"/>
          <w:szCs w:val="18"/>
          <w:lang w:eastAsia="nl-NL"/>
        </w:rPr>
        <w:t>Clausule B (wel opleverdossier)</w:t>
      </w:r>
      <w:r>
        <w:rPr>
          <w:rFonts w:ascii="Verdana" w:hAnsi="Verdana"/>
          <w:sz w:val="18"/>
          <w:szCs w:val="18"/>
          <w:lang w:eastAsia="nl-NL"/>
        </w:rPr>
        <w:t> </w:t>
      </w:r>
    </w:p>
    <w:p w14:paraId="7274574F" w14:textId="77777777" w:rsidR="00CD013C" w:rsidRDefault="00CD013C" w:rsidP="00CD013C">
      <w:pPr>
        <w:textAlignment w:val="baseline"/>
        <w:rPr>
          <w:rFonts w:ascii="Segoe UI" w:hAnsi="Segoe UI" w:cs="Segoe UI"/>
          <w:sz w:val="18"/>
          <w:szCs w:val="18"/>
          <w:lang w:eastAsia="nl-NL"/>
        </w:rPr>
      </w:pPr>
      <w:r>
        <w:rPr>
          <w:rFonts w:ascii="Verdana" w:hAnsi="Verdana"/>
          <w:sz w:val="18"/>
          <w:szCs w:val="18"/>
          <w:lang w:eastAsia="nl-NL"/>
        </w:rPr>
        <w:t>Indien de Wet kwaliteitsborging voor het bouwen (Staatsblad 2019, 382) in werking is getreden, verstrekt de aannemer binnen 3 maanden na oplevering van het bouwwerk het dossier als bedoeld in artikel 7:757a van het Burgerlijk Wetboek. Dit dossier bestaat uit: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2"/>
      </w:tblGrid>
      <w:tr w:rsidR="00CD013C" w14:paraId="4A959ECE" w14:textId="77777777" w:rsidTr="00CD013C">
        <w:trPr>
          <w:trHeight w:val="300"/>
        </w:trPr>
        <w:tc>
          <w:tcPr>
            <w:tcW w:w="9060" w:type="dxa"/>
            <w:tcBorders>
              <w:top w:val="single" w:sz="8" w:space="0" w:color="000000"/>
              <w:left w:val="single" w:sz="8" w:space="0" w:color="000000"/>
              <w:bottom w:val="single" w:sz="8" w:space="0" w:color="000000"/>
              <w:right w:val="single" w:sz="8" w:space="0" w:color="000000"/>
            </w:tcBorders>
            <w:hideMark/>
          </w:tcPr>
          <w:p w14:paraId="74465E1E" w14:textId="77777777" w:rsidR="00CD013C" w:rsidRDefault="00CD013C">
            <w:pPr>
              <w:textAlignment w:val="baseline"/>
              <w:rPr>
                <w:rFonts w:cs="Calibri"/>
                <w:lang w:eastAsia="nl-NL"/>
              </w:rPr>
            </w:pPr>
            <w:r>
              <w:rPr>
                <w:rFonts w:ascii="Verdana" w:hAnsi="Verdana"/>
                <w:sz w:val="18"/>
                <w:szCs w:val="18"/>
                <w:lang w:eastAsia="nl-NL"/>
              </w:rPr>
              <w:t> </w:t>
            </w:r>
          </w:p>
        </w:tc>
      </w:tr>
      <w:tr w:rsidR="00CD013C" w14:paraId="61858157" w14:textId="77777777" w:rsidTr="00CD013C">
        <w:trPr>
          <w:trHeight w:val="300"/>
        </w:trPr>
        <w:tc>
          <w:tcPr>
            <w:tcW w:w="9060" w:type="dxa"/>
            <w:tcBorders>
              <w:top w:val="nil"/>
              <w:left w:val="single" w:sz="8" w:space="0" w:color="000000"/>
              <w:bottom w:val="single" w:sz="8" w:space="0" w:color="000000"/>
              <w:right w:val="single" w:sz="8" w:space="0" w:color="000000"/>
            </w:tcBorders>
            <w:hideMark/>
          </w:tcPr>
          <w:p w14:paraId="68FA330E" w14:textId="77777777" w:rsidR="00CD013C" w:rsidRDefault="00CD013C">
            <w:pPr>
              <w:textAlignment w:val="baseline"/>
              <w:rPr>
                <w:lang w:eastAsia="nl-NL"/>
              </w:rPr>
            </w:pPr>
            <w:r>
              <w:rPr>
                <w:rFonts w:ascii="Verdana" w:hAnsi="Verdana"/>
                <w:sz w:val="18"/>
                <w:szCs w:val="18"/>
                <w:lang w:eastAsia="nl-NL"/>
              </w:rPr>
              <w:t> </w:t>
            </w:r>
          </w:p>
        </w:tc>
      </w:tr>
      <w:tr w:rsidR="00CD013C" w14:paraId="30B33422" w14:textId="77777777" w:rsidTr="00CD013C">
        <w:trPr>
          <w:trHeight w:val="300"/>
        </w:trPr>
        <w:tc>
          <w:tcPr>
            <w:tcW w:w="9060" w:type="dxa"/>
            <w:tcBorders>
              <w:top w:val="nil"/>
              <w:left w:val="single" w:sz="8" w:space="0" w:color="000000"/>
              <w:bottom w:val="single" w:sz="8" w:space="0" w:color="000000"/>
              <w:right w:val="single" w:sz="8" w:space="0" w:color="000000"/>
            </w:tcBorders>
            <w:hideMark/>
          </w:tcPr>
          <w:p w14:paraId="59BFDDF7" w14:textId="77777777" w:rsidR="00CD013C" w:rsidRDefault="00CD013C">
            <w:pPr>
              <w:textAlignment w:val="baseline"/>
              <w:rPr>
                <w:lang w:eastAsia="nl-NL"/>
              </w:rPr>
            </w:pPr>
            <w:r>
              <w:rPr>
                <w:rFonts w:ascii="Verdana" w:hAnsi="Verdana"/>
                <w:sz w:val="18"/>
                <w:szCs w:val="18"/>
                <w:lang w:eastAsia="nl-NL"/>
              </w:rPr>
              <w:t> </w:t>
            </w:r>
          </w:p>
        </w:tc>
      </w:tr>
    </w:tbl>
    <w:p w14:paraId="65E3C94D" w14:textId="77777777" w:rsidR="00CD013C" w:rsidRDefault="00CD013C" w:rsidP="00CD013C">
      <w:pPr>
        <w:textAlignment w:val="baseline"/>
        <w:rPr>
          <w:rFonts w:ascii="Segoe UI" w:eastAsiaTheme="minorHAnsi" w:hAnsi="Segoe UI" w:cs="Segoe UI"/>
          <w:sz w:val="18"/>
          <w:szCs w:val="18"/>
          <w:lang w:eastAsia="nl-NL"/>
        </w:rPr>
      </w:pPr>
      <w:r>
        <w:rPr>
          <w:rFonts w:ascii="Verdana" w:hAnsi="Verdana"/>
          <w:color w:val="FFFFFF"/>
          <w:sz w:val="18"/>
          <w:szCs w:val="18"/>
          <w:lang w:eastAsia="nl-NL"/>
        </w:rPr>
        <w:t> </w:t>
      </w:r>
    </w:p>
    <w:p w14:paraId="6EAE7DB7" w14:textId="77777777" w:rsidR="00CD013C" w:rsidRDefault="00CD013C" w:rsidP="00CD013C">
      <w:pPr>
        <w:textAlignment w:val="baseline"/>
        <w:rPr>
          <w:rFonts w:ascii="Segoe UI" w:hAnsi="Segoe UI" w:cs="Segoe UI"/>
          <w:sz w:val="18"/>
          <w:szCs w:val="18"/>
          <w:lang w:eastAsia="nl-NL"/>
        </w:rPr>
      </w:pPr>
      <w:r>
        <w:rPr>
          <w:rFonts w:ascii="Verdana" w:hAnsi="Verdana"/>
          <w:sz w:val="18"/>
          <w:szCs w:val="18"/>
          <w:lang w:eastAsia="nl-NL"/>
        </w:rPr>
        <w:t>[bijvoorbeeld verkooptekeningen, constructieberekeningen, materialenstaat, beschrijving van de toegepaste installaties, gebruiks- en onderhoudsvoorschriften] </w:t>
      </w:r>
    </w:p>
    <w:p w14:paraId="5BF54C4E" w14:textId="7AA29E8F" w:rsidR="007F2C0E" w:rsidRPr="00E267A4" w:rsidRDefault="00753141" w:rsidP="007F2C0E">
      <w:pPr>
        <w:rPr>
          <w:rFonts w:ascii="Verdana" w:hAnsi="Verdana"/>
          <w:sz w:val="18"/>
          <w:szCs w:val="18"/>
          <w:u w:val="single"/>
        </w:rPr>
      </w:pPr>
      <w:r w:rsidRPr="00E267A4">
        <w:rPr>
          <w:rFonts w:ascii="Verdana" w:hAnsi="Verdana"/>
          <w:sz w:val="18"/>
          <w:szCs w:val="18"/>
          <w:u w:val="single"/>
        </w:rPr>
        <w:t>Toelichting</w:t>
      </w:r>
    </w:p>
    <w:p w14:paraId="5BAD38FF" w14:textId="11B8071B" w:rsidR="006F4847" w:rsidRPr="007F2C0E" w:rsidRDefault="00536F2C" w:rsidP="007F2C0E">
      <w:pPr>
        <w:rPr>
          <w:rStyle w:val="normaltextrun"/>
          <w:rFonts w:ascii="Verdana" w:hAnsi="Verdana" w:cs="Segoe UI"/>
          <w:sz w:val="18"/>
          <w:szCs w:val="18"/>
        </w:rPr>
      </w:pPr>
      <w:r w:rsidRPr="007F2C0E">
        <w:rPr>
          <w:rStyle w:val="normaltextrun"/>
          <w:rFonts w:ascii="Verdana" w:hAnsi="Verdana" w:cs="Segoe UI"/>
          <w:sz w:val="18"/>
          <w:szCs w:val="18"/>
        </w:rPr>
        <w:t xml:space="preserve">In </w:t>
      </w:r>
      <w:r w:rsidR="00DD1470" w:rsidRPr="007F2C0E">
        <w:rPr>
          <w:rStyle w:val="normaltextrun"/>
          <w:rFonts w:ascii="Verdana" w:hAnsi="Verdana" w:cs="Segoe UI"/>
          <w:sz w:val="18"/>
          <w:szCs w:val="18"/>
        </w:rPr>
        <w:t xml:space="preserve">artikel 7:757a van </w:t>
      </w:r>
      <w:r w:rsidRPr="007F2C0E">
        <w:rPr>
          <w:rStyle w:val="normaltextrun"/>
          <w:rFonts w:ascii="Verdana" w:hAnsi="Verdana" w:cs="Segoe UI"/>
          <w:sz w:val="18"/>
          <w:szCs w:val="18"/>
        </w:rPr>
        <w:t>het Wetsvoorstel kwaliteitsborging voor het bouwen (</w:t>
      </w:r>
      <w:proofErr w:type="spellStart"/>
      <w:r w:rsidRPr="007F2C0E">
        <w:rPr>
          <w:rStyle w:val="normaltextrun"/>
          <w:rFonts w:ascii="Verdana" w:hAnsi="Verdana" w:cs="Segoe UI"/>
          <w:sz w:val="18"/>
          <w:szCs w:val="18"/>
        </w:rPr>
        <w:t>Wkb</w:t>
      </w:r>
      <w:proofErr w:type="spellEnd"/>
      <w:r w:rsidRPr="007F2C0E">
        <w:rPr>
          <w:rStyle w:val="normaltextrun"/>
          <w:rFonts w:ascii="Verdana" w:hAnsi="Verdana" w:cs="Segoe UI"/>
          <w:sz w:val="18"/>
          <w:szCs w:val="18"/>
        </w:rPr>
        <w:t xml:space="preserve">) </w:t>
      </w:r>
      <w:r w:rsidR="006F4847" w:rsidRPr="007F2C0E">
        <w:rPr>
          <w:rStyle w:val="normaltextrun"/>
          <w:rFonts w:ascii="Verdana" w:hAnsi="Verdana" w:cs="Segoe UI"/>
          <w:sz w:val="18"/>
          <w:szCs w:val="18"/>
        </w:rPr>
        <w:t>staat het volgende:</w:t>
      </w:r>
    </w:p>
    <w:p w14:paraId="0274ECF0" w14:textId="77777777" w:rsidR="006F4847" w:rsidRPr="007F2C0E" w:rsidRDefault="006F4847" w:rsidP="007F2C0E">
      <w:pPr>
        <w:rPr>
          <w:rFonts w:ascii="Verdana" w:hAnsi="Verdana"/>
          <w:i/>
          <w:sz w:val="18"/>
          <w:szCs w:val="18"/>
        </w:rPr>
      </w:pPr>
      <w:r w:rsidRPr="007F2C0E">
        <w:rPr>
          <w:rFonts w:ascii="Verdana" w:hAnsi="Verdana"/>
          <w:i/>
          <w:sz w:val="18"/>
          <w:szCs w:val="18"/>
        </w:rPr>
        <w:t>In geval van aanneming van een bouwwerk legt de aannemer bij de kennisgeving dat het werk klaar is om te worden opgeleverd, bedoeld in artikel 758 lid 1, een dossier aan de opdrachtgever over met betrekking tot het tot stand gebrachte bouwwerk. Het dossier bevat gegevens en bescheiden die volledig inzicht geven in de nakoming van de overeenkomst door de aannemer en de te dien aanzien uitgevoerde werkzaamheden en bevat in ieder geval: a. tekeningen en berekeningen betreffende het tot stand gebrachte bouwwerk en de bijbehorende installaties, en een beschrijving van de toegepaste materialen en installaties, alsmede de gebruiksfuncties van het bouwwerk; b. gegevens en bescheiden die nodig zijn voor gebruik en onderhoud van het bouwwerk.</w:t>
      </w:r>
    </w:p>
    <w:p w14:paraId="3CC12F6A" w14:textId="513B19A7" w:rsidR="00C96A67" w:rsidRDefault="00C8357A" w:rsidP="007F2C0E">
      <w:pPr>
        <w:rPr>
          <w:rStyle w:val="normaltextrun"/>
          <w:rFonts w:ascii="Verdana" w:hAnsi="Verdana" w:cs="Segoe UI"/>
          <w:sz w:val="18"/>
          <w:szCs w:val="18"/>
        </w:rPr>
      </w:pPr>
      <w:r w:rsidRPr="007F2C0E">
        <w:rPr>
          <w:rStyle w:val="normaltextrun"/>
          <w:rFonts w:ascii="Verdana" w:hAnsi="Verdana" w:cs="Segoe UI"/>
          <w:sz w:val="18"/>
          <w:szCs w:val="18"/>
        </w:rPr>
        <w:t xml:space="preserve">Op basis van deze </w:t>
      </w:r>
      <w:r w:rsidR="007F2C0E">
        <w:rPr>
          <w:rStyle w:val="normaltextrun"/>
          <w:rFonts w:ascii="Verdana" w:hAnsi="Verdana" w:cs="Segoe UI"/>
          <w:sz w:val="18"/>
          <w:szCs w:val="18"/>
        </w:rPr>
        <w:t>wets</w:t>
      </w:r>
      <w:r w:rsidRPr="007F2C0E">
        <w:rPr>
          <w:rStyle w:val="normaltextrun"/>
          <w:rFonts w:ascii="Verdana" w:hAnsi="Verdana" w:cs="Segoe UI"/>
          <w:sz w:val="18"/>
          <w:szCs w:val="18"/>
        </w:rPr>
        <w:t xml:space="preserve">tekst moet de </w:t>
      </w:r>
      <w:r w:rsidR="00776CEE" w:rsidRPr="007F2C0E">
        <w:rPr>
          <w:rStyle w:val="normaltextrun"/>
          <w:rFonts w:ascii="Verdana" w:hAnsi="Verdana" w:cs="Segoe UI"/>
          <w:sz w:val="18"/>
          <w:szCs w:val="18"/>
        </w:rPr>
        <w:t>aann</w:t>
      </w:r>
      <w:r w:rsidRPr="007F2C0E">
        <w:rPr>
          <w:rStyle w:val="normaltextrun"/>
          <w:rFonts w:ascii="Verdana" w:hAnsi="Verdana" w:cs="Segoe UI"/>
          <w:sz w:val="18"/>
          <w:szCs w:val="18"/>
        </w:rPr>
        <w:t>emer</w:t>
      </w:r>
      <w:r w:rsidR="00776CEE" w:rsidRPr="007F2C0E">
        <w:rPr>
          <w:rStyle w:val="normaltextrun"/>
          <w:rFonts w:ascii="Verdana" w:hAnsi="Verdana" w:cs="Segoe UI"/>
          <w:sz w:val="18"/>
          <w:szCs w:val="18"/>
        </w:rPr>
        <w:t xml:space="preserve"> aan de opdrachtgever </w:t>
      </w:r>
      <w:r w:rsidR="004555D2" w:rsidRPr="007F2C0E">
        <w:rPr>
          <w:rStyle w:val="normaltextrun"/>
          <w:rFonts w:ascii="Verdana" w:hAnsi="Verdana" w:cs="Segoe UI"/>
          <w:sz w:val="18"/>
          <w:szCs w:val="18"/>
        </w:rPr>
        <w:t>een opleverdossier</w:t>
      </w:r>
      <w:r w:rsidR="003A5E88">
        <w:rPr>
          <w:rStyle w:val="Voetnootmarkering"/>
          <w:rFonts w:ascii="Verdana" w:hAnsi="Verdana" w:cs="Segoe UI"/>
          <w:sz w:val="18"/>
          <w:szCs w:val="18"/>
        </w:rPr>
        <w:footnoteReference w:id="2"/>
      </w:r>
      <w:r w:rsidR="004555D2" w:rsidRPr="007F2C0E">
        <w:rPr>
          <w:rStyle w:val="normaltextrun"/>
          <w:rFonts w:ascii="Verdana" w:hAnsi="Verdana" w:cs="Segoe UI"/>
          <w:sz w:val="18"/>
          <w:szCs w:val="18"/>
        </w:rPr>
        <w:t xml:space="preserve"> verstrekken</w:t>
      </w:r>
      <w:r w:rsidR="0024445B">
        <w:rPr>
          <w:rStyle w:val="normaltextrun"/>
          <w:rFonts w:ascii="Verdana" w:hAnsi="Verdana" w:cs="Segoe UI"/>
          <w:sz w:val="18"/>
          <w:szCs w:val="18"/>
        </w:rPr>
        <w:t>. De wet geeft aan welke gegevens en bescheiden dit dossier moet bevatten</w:t>
      </w:r>
      <w:r w:rsidR="00070C02">
        <w:rPr>
          <w:rStyle w:val="Voetnootmarkering"/>
          <w:rFonts w:ascii="Verdana" w:hAnsi="Verdana" w:cs="Segoe UI"/>
          <w:sz w:val="18"/>
          <w:szCs w:val="18"/>
        </w:rPr>
        <w:footnoteReference w:id="3"/>
      </w:r>
      <w:r w:rsidR="00C96A67">
        <w:rPr>
          <w:rStyle w:val="normaltextrun"/>
          <w:rFonts w:ascii="Verdana" w:hAnsi="Verdana" w:cs="Segoe UI"/>
          <w:sz w:val="18"/>
          <w:szCs w:val="18"/>
        </w:rPr>
        <w:t xml:space="preserve">. Ook staat in de tekst dat het dossier moet worden overlegd </w:t>
      </w:r>
      <w:r w:rsidR="00DD2C3A">
        <w:rPr>
          <w:rStyle w:val="normaltextrun"/>
          <w:rFonts w:ascii="Verdana" w:hAnsi="Verdana" w:cs="Segoe UI"/>
          <w:sz w:val="18"/>
          <w:szCs w:val="18"/>
        </w:rPr>
        <w:t>bij</w:t>
      </w:r>
      <w:r w:rsidR="0024445B">
        <w:rPr>
          <w:rStyle w:val="normaltextrun"/>
          <w:rFonts w:ascii="Verdana" w:hAnsi="Verdana" w:cs="Segoe UI"/>
          <w:sz w:val="18"/>
          <w:szCs w:val="18"/>
        </w:rPr>
        <w:t xml:space="preserve"> </w:t>
      </w:r>
      <w:r w:rsidR="00C96A67">
        <w:rPr>
          <w:rStyle w:val="normaltextrun"/>
          <w:rFonts w:ascii="Verdana" w:hAnsi="Verdana" w:cs="Segoe UI"/>
          <w:sz w:val="18"/>
          <w:szCs w:val="18"/>
        </w:rPr>
        <w:t xml:space="preserve">de </w:t>
      </w:r>
      <w:r w:rsidR="00DD2C3A">
        <w:rPr>
          <w:rStyle w:val="normaltextrun"/>
          <w:rFonts w:ascii="Verdana" w:hAnsi="Verdana" w:cs="Segoe UI"/>
          <w:sz w:val="18"/>
          <w:szCs w:val="18"/>
        </w:rPr>
        <w:t>kennisgeving dat het werk klaar is om te worden opgeleverd</w:t>
      </w:r>
      <w:r w:rsidR="00C96A67">
        <w:rPr>
          <w:rStyle w:val="normaltextrun"/>
          <w:rFonts w:ascii="Verdana" w:hAnsi="Verdana" w:cs="Segoe UI"/>
          <w:sz w:val="18"/>
          <w:szCs w:val="18"/>
        </w:rPr>
        <w:t>, dus al bij de uitnodiging tot oplevering</w:t>
      </w:r>
      <w:r w:rsidRPr="007F2C0E">
        <w:rPr>
          <w:rStyle w:val="normaltextrun"/>
          <w:rFonts w:ascii="Verdana" w:hAnsi="Verdana" w:cs="Segoe UI"/>
          <w:sz w:val="18"/>
          <w:szCs w:val="18"/>
        </w:rPr>
        <w:t xml:space="preserve">. </w:t>
      </w:r>
      <w:r w:rsidR="006F1A49">
        <w:rPr>
          <w:rStyle w:val="normaltextrun"/>
          <w:rFonts w:ascii="Verdana" w:hAnsi="Verdana" w:cs="Segoe UI"/>
          <w:sz w:val="18"/>
          <w:szCs w:val="18"/>
        </w:rPr>
        <w:t>D</w:t>
      </w:r>
      <w:r w:rsidR="00BC5FD4">
        <w:rPr>
          <w:rStyle w:val="normaltextrun"/>
          <w:rFonts w:ascii="Verdana" w:hAnsi="Verdana" w:cs="Segoe UI"/>
          <w:sz w:val="18"/>
          <w:szCs w:val="18"/>
        </w:rPr>
        <w:t>eze bepaling</w:t>
      </w:r>
      <w:r w:rsidRPr="007F2C0E">
        <w:rPr>
          <w:rStyle w:val="normaltextrun"/>
          <w:rFonts w:ascii="Verdana" w:hAnsi="Verdana" w:cs="Segoe UI"/>
          <w:sz w:val="18"/>
          <w:szCs w:val="18"/>
        </w:rPr>
        <w:t xml:space="preserve"> geldt voor </w:t>
      </w:r>
      <w:r w:rsidR="00046B0C" w:rsidRPr="007F2C0E">
        <w:rPr>
          <w:rStyle w:val="normaltextrun"/>
          <w:rFonts w:ascii="Verdana" w:hAnsi="Verdana" w:cs="Segoe UI"/>
          <w:sz w:val="18"/>
          <w:szCs w:val="18"/>
        </w:rPr>
        <w:t xml:space="preserve">een </w:t>
      </w:r>
      <w:r w:rsidRPr="007F2C0E">
        <w:rPr>
          <w:rStyle w:val="normaltextrun"/>
          <w:rFonts w:ascii="Verdana" w:hAnsi="Verdana" w:cs="Segoe UI"/>
          <w:sz w:val="18"/>
          <w:szCs w:val="18"/>
        </w:rPr>
        <w:t>oplevering die plaatsvind</w:t>
      </w:r>
      <w:r w:rsidR="00046B0C" w:rsidRPr="007F2C0E">
        <w:rPr>
          <w:rStyle w:val="normaltextrun"/>
          <w:rFonts w:ascii="Verdana" w:hAnsi="Verdana" w:cs="Segoe UI"/>
          <w:sz w:val="18"/>
          <w:szCs w:val="18"/>
        </w:rPr>
        <w:t xml:space="preserve">t vanaf de inwerkingtreding van de </w:t>
      </w:r>
      <w:proofErr w:type="spellStart"/>
      <w:r w:rsidR="00046B0C" w:rsidRPr="007F2C0E">
        <w:rPr>
          <w:rStyle w:val="normaltextrun"/>
          <w:rFonts w:ascii="Verdana" w:hAnsi="Verdana" w:cs="Segoe UI"/>
          <w:sz w:val="18"/>
          <w:szCs w:val="18"/>
        </w:rPr>
        <w:t>Wkb</w:t>
      </w:r>
      <w:proofErr w:type="spellEnd"/>
      <w:r w:rsidR="00E77E25" w:rsidRPr="007F2C0E">
        <w:rPr>
          <w:rStyle w:val="normaltextrun"/>
          <w:rFonts w:ascii="Verdana" w:hAnsi="Verdana" w:cs="Segoe UI"/>
          <w:sz w:val="18"/>
          <w:szCs w:val="18"/>
        </w:rPr>
        <w:t xml:space="preserve"> (</w:t>
      </w:r>
      <w:r w:rsidR="00046B0C" w:rsidRPr="007F2C0E">
        <w:rPr>
          <w:rStyle w:val="normaltextrun"/>
          <w:rFonts w:ascii="Verdana" w:hAnsi="Verdana" w:cs="Segoe UI"/>
          <w:sz w:val="18"/>
          <w:szCs w:val="18"/>
        </w:rPr>
        <w:t>voorzien op 1 juli 202</w:t>
      </w:r>
      <w:r w:rsidR="00E77E25" w:rsidRPr="007F2C0E">
        <w:rPr>
          <w:rStyle w:val="normaltextrun"/>
          <w:rFonts w:ascii="Verdana" w:hAnsi="Verdana" w:cs="Segoe UI"/>
          <w:sz w:val="18"/>
          <w:szCs w:val="18"/>
        </w:rPr>
        <w:t>2)</w:t>
      </w:r>
      <w:r w:rsidR="008F4262" w:rsidRPr="007F2C0E">
        <w:rPr>
          <w:rStyle w:val="normaltextrun"/>
          <w:rFonts w:ascii="Verdana" w:hAnsi="Verdana" w:cs="Segoe UI"/>
          <w:sz w:val="18"/>
          <w:szCs w:val="18"/>
        </w:rPr>
        <w:t xml:space="preserve">, dus kan ook van toepassing zijn op overeenkomsten die nu </w:t>
      </w:r>
      <w:r w:rsidR="00BC5FD4">
        <w:rPr>
          <w:rStyle w:val="normaltextrun"/>
          <w:rFonts w:ascii="Verdana" w:hAnsi="Verdana" w:cs="Segoe UI"/>
          <w:sz w:val="18"/>
          <w:szCs w:val="18"/>
        </w:rPr>
        <w:t xml:space="preserve">worden </w:t>
      </w:r>
      <w:r w:rsidR="008F4262" w:rsidRPr="007F2C0E">
        <w:rPr>
          <w:rStyle w:val="normaltextrun"/>
          <w:rFonts w:ascii="Verdana" w:hAnsi="Verdana" w:cs="Segoe UI"/>
          <w:sz w:val="18"/>
          <w:szCs w:val="18"/>
        </w:rPr>
        <w:t>gesloten</w:t>
      </w:r>
      <w:r w:rsidR="005A7C50" w:rsidRPr="007F2C0E">
        <w:rPr>
          <w:rStyle w:val="normaltextrun"/>
          <w:rFonts w:ascii="Verdana" w:hAnsi="Verdana" w:cs="Segoe UI"/>
          <w:sz w:val="18"/>
          <w:szCs w:val="18"/>
        </w:rPr>
        <w:t>.</w:t>
      </w:r>
      <w:r w:rsidR="005A56DC" w:rsidRPr="007F2C0E">
        <w:rPr>
          <w:rStyle w:val="normaltextrun"/>
          <w:rFonts w:ascii="Verdana" w:hAnsi="Verdana" w:cs="Segoe UI"/>
          <w:sz w:val="18"/>
          <w:szCs w:val="18"/>
        </w:rPr>
        <w:t xml:space="preserve"> </w:t>
      </w:r>
    </w:p>
    <w:p w14:paraId="74D047A9" w14:textId="2A98A6EC" w:rsidR="001073BE" w:rsidRDefault="005A7C50" w:rsidP="007F2C0E">
      <w:pPr>
        <w:rPr>
          <w:rStyle w:val="normaltextrun"/>
          <w:rFonts w:ascii="Verdana" w:hAnsi="Verdana" w:cs="Segoe UI"/>
          <w:sz w:val="18"/>
          <w:szCs w:val="18"/>
        </w:rPr>
      </w:pPr>
      <w:r w:rsidRPr="612319B8">
        <w:rPr>
          <w:rStyle w:val="normaltextrun"/>
          <w:rFonts w:ascii="Verdana" w:hAnsi="Verdana" w:cs="Segoe UI"/>
          <w:sz w:val="18"/>
          <w:szCs w:val="18"/>
        </w:rPr>
        <w:t xml:space="preserve">Belangrijk is dat </w:t>
      </w:r>
      <w:r w:rsidR="0033713A" w:rsidRPr="612319B8">
        <w:rPr>
          <w:rStyle w:val="normaltextrun"/>
          <w:rFonts w:ascii="Verdana" w:hAnsi="Verdana" w:cs="Segoe UI"/>
          <w:sz w:val="18"/>
          <w:szCs w:val="18"/>
        </w:rPr>
        <w:t xml:space="preserve">van deze wetstekst </w:t>
      </w:r>
      <w:r w:rsidR="00B22C25" w:rsidRPr="612319B8">
        <w:rPr>
          <w:rStyle w:val="normaltextrun"/>
          <w:rFonts w:ascii="Verdana" w:hAnsi="Verdana" w:cs="Segoe UI"/>
          <w:sz w:val="18"/>
          <w:szCs w:val="18"/>
        </w:rPr>
        <w:t xml:space="preserve">mag worden afgeweken in de aannemingsovereenkomst. </w:t>
      </w:r>
      <w:r w:rsidR="00917297" w:rsidRPr="612319B8">
        <w:rPr>
          <w:rStyle w:val="normaltextrun"/>
          <w:rFonts w:ascii="Verdana" w:hAnsi="Verdana" w:cs="Segoe UI"/>
          <w:sz w:val="18"/>
          <w:szCs w:val="18"/>
        </w:rPr>
        <w:t xml:space="preserve">Dit kan door het gebruiken van een van </w:t>
      </w:r>
      <w:r w:rsidR="00DD2C3A" w:rsidRPr="612319B8">
        <w:rPr>
          <w:rStyle w:val="normaltextrun"/>
          <w:rFonts w:ascii="Verdana" w:hAnsi="Verdana" w:cs="Segoe UI"/>
          <w:sz w:val="18"/>
          <w:szCs w:val="18"/>
        </w:rPr>
        <w:t xml:space="preserve">deze </w:t>
      </w:r>
      <w:r w:rsidR="00B22C25" w:rsidRPr="612319B8">
        <w:rPr>
          <w:rStyle w:val="normaltextrun"/>
          <w:rFonts w:ascii="Verdana" w:hAnsi="Verdana" w:cs="Segoe UI"/>
          <w:sz w:val="18"/>
          <w:szCs w:val="18"/>
        </w:rPr>
        <w:t>clausules.</w:t>
      </w:r>
      <w:r w:rsidR="000918DB" w:rsidRPr="612319B8">
        <w:rPr>
          <w:rStyle w:val="normaltextrun"/>
          <w:rFonts w:ascii="Verdana" w:hAnsi="Verdana" w:cs="Segoe UI"/>
          <w:sz w:val="18"/>
          <w:szCs w:val="18"/>
        </w:rPr>
        <w:t xml:space="preserve"> </w:t>
      </w:r>
      <w:r w:rsidR="00B22C25" w:rsidRPr="612319B8">
        <w:rPr>
          <w:rStyle w:val="normaltextrun"/>
          <w:rFonts w:ascii="Verdana" w:hAnsi="Verdana" w:cs="Segoe UI"/>
          <w:sz w:val="18"/>
          <w:szCs w:val="18"/>
        </w:rPr>
        <w:t xml:space="preserve">Clausule A </w:t>
      </w:r>
      <w:r w:rsidR="00895179" w:rsidRPr="612319B8">
        <w:rPr>
          <w:rStyle w:val="normaltextrun"/>
          <w:rFonts w:ascii="Verdana" w:hAnsi="Verdana" w:cs="Segoe UI"/>
          <w:sz w:val="18"/>
          <w:szCs w:val="18"/>
        </w:rPr>
        <w:t>is van toepassing als de aannemer geen opleverdossier wenst te verstrekken</w:t>
      </w:r>
      <w:r w:rsidR="00D04320" w:rsidRPr="612319B8">
        <w:rPr>
          <w:rStyle w:val="normaltextrun"/>
          <w:rFonts w:ascii="Verdana" w:hAnsi="Verdana" w:cs="Segoe UI"/>
          <w:sz w:val="18"/>
          <w:szCs w:val="18"/>
        </w:rPr>
        <w:t xml:space="preserve">, </w:t>
      </w:r>
      <w:r w:rsidR="00895179" w:rsidRPr="612319B8">
        <w:rPr>
          <w:rStyle w:val="normaltextrun"/>
          <w:rFonts w:ascii="Verdana" w:hAnsi="Verdana" w:cs="Segoe UI"/>
          <w:sz w:val="18"/>
          <w:szCs w:val="18"/>
        </w:rPr>
        <w:t>bijvoorbeeld bij een eenvoudige klus</w:t>
      </w:r>
      <w:r w:rsidR="00D04320" w:rsidRPr="612319B8">
        <w:rPr>
          <w:rStyle w:val="normaltextrun"/>
          <w:rFonts w:ascii="Verdana" w:hAnsi="Verdana" w:cs="Segoe UI"/>
          <w:sz w:val="18"/>
          <w:szCs w:val="18"/>
        </w:rPr>
        <w:t xml:space="preserve">. In geval van Clausule B </w:t>
      </w:r>
      <w:r w:rsidR="00CD6034" w:rsidRPr="612319B8">
        <w:rPr>
          <w:rStyle w:val="normaltextrun"/>
          <w:rFonts w:ascii="Verdana" w:hAnsi="Verdana" w:cs="Segoe UI"/>
          <w:sz w:val="18"/>
          <w:szCs w:val="18"/>
        </w:rPr>
        <w:t xml:space="preserve">verstrekt de aannemer wel een </w:t>
      </w:r>
      <w:r w:rsidR="00C4704F" w:rsidRPr="612319B8">
        <w:rPr>
          <w:rStyle w:val="normaltextrun"/>
          <w:rFonts w:ascii="Verdana" w:hAnsi="Verdana" w:cs="Segoe UI"/>
          <w:sz w:val="18"/>
          <w:szCs w:val="18"/>
        </w:rPr>
        <w:t>oplever</w:t>
      </w:r>
      <w:r w:rsidR="00CD6034" w:rsidRPr="612319B8">
        <w:rPr>
          <w:rStyle w:val="normaltextrun"/>
          <w:rFonts w:ascii="Verdana" w:hAnsi="Verdana" w:cs="Segoe UI"/>
          <w:sz w:val="18"/>
          <w:szCs w:val="18"/>
        </w:rPr>
        <w:t xml:space="preserve">dossier en wordt vastgelegd uit welke </w:t>
      </w:r>
      <w:r w:rsidR="00CD6034" w:rsidRPr="612319B8">
        <w:rPr>
          <w:rStyle w:val="normaltextrun"/>
          <w:rFonts w:ascii="Verdana" w:hAnsi="Verdana" w:cs="Segoe UI"/>
          <w:sz w:val="18"/>
          <w:szCs w:val="18"/>
        </w:rPr>
        <w:lastRenderedPageBreak/>
        <w:t>documenten dit dossier zal bestaan.</w:t>
      </w:r>
      <w:r w:rsidR="00670D9E" w:rsidRPr="612319B8">
        <w:rPr>
          <w:rStyle w:val="normaltextrun"/>
          <w:rFonts w:ascii="Verdana" w:hAnsi="Verdana" w:cs="Segoe UI"/>
          <w:sz w:val="18"/>
          <w:szCs w:val="18"/>
        </w:rPr>
        <w:t xml:space="preserve"> Ook </w:t>
      </w:r>
      <w:r w:rsidR="00616CCD" w:rsidRPr="612319B8">
        <w:rPr>
          <w:rStyle w:val="normaltextrun"/>
          <w:rFonts w:ascii="Verdana" w:hAnsi="Verdana" w:cs="Segoe UI"/>
          <w:sz w:val="18"/>
          <w:szCs w:val="18"/>
        </w:rPr>
        <w:t>wordt in deze clausule bepaald dat het dossier binnen drie maanden na oplevering wordt verstrekt</w:t>
      </w:r>
      <w:r w:rsidR="00691AED" w:rsidRPr="612319B8">
        <w:rPr>
          <w:rStyle w:val="normaltextrun"/>
          <w:rFonts w:ascii="Verdana" w:hAnsi="Verdana" w:cs="Segoe UI"/>
          <w:sz w:val="18"/>
          <w:szCs w:val="18"/>
        </w:rPr>
        <w:t xml:space="preserve"> zoals in de praktijk gebruikelijk</w:t>
      </w:r>
      <w:r w:rsidR="006E15EB" w:rsidRPr="612319B8">
        <w:rPr>
          <w:rStyle w:val="normaltextrun"/>
          <w:rFonts w:ascii="Verdana" w:hAnsi="Verdana" w:cs="Segoe UI"/>
          <w:sz w:val="18"/>
          <w:szCs w:val="18"/>
        </w:rPr>
        <w:t>, in plaats van bij de uitnodiging tot oplevering</w:t>
      </w:r>
      <w:r w:rsidR="00FE4039" w:rsidRPr="612319B8">
        <w:rPr>
          <w:rStyle w:val="normaltextrun"/>
          <w:rFonts w:ascii="Verdana" w:hAnsi="Verdana" w:cs="Segoe UI"/>
          <w:sz w:val="18"/>
          <w:szCs w:val="18"/>
        </w:rPr>
        <w:t>.</w:t>
      </w:r>
      <w:r w:rsidR="00F72FB4" w:rsidRPr="612319B8">
        <w:rPr>
          <w:rStyle w:val="normaltextrun"/>
          <w:rFonts w:ascii="Verdana" w:hAnsi="Verdana" w:cs="Segoe UI"/>
          <w:sz w:val="18"/>
          <w:szCs w:val="18"/>
        </w:rPr>
        <w:t xml:space="preserve"> </w:t>
      </w:r>
    </w:p>
    <w:p w14:paraId="13768A2F" w14:textId="08675EFA" w:rsidR="005A7C50" w:rsidRPr="007F2C0E" w:rsidRDefault="612319B8" w:rsidP="612319B8">
      <w:pPr>
        <w:rPr>
          <w:i/>
          <w:iCs/>
        </w:rPr>
      </w:pPr>
      <w:r w:rsidRPr="612319B8">
        <w:rPr>
          <w:rFonts w:cs="Calibri"/>
          <w:i/>
          <w:iCs/>
        </w:rPr>
        <w:t>Het is verstandig één van beide clausules op te nemen in overeenkomsten die na 1 januari 2023 worden aangegaan.</w:t>
      </w:r>
    </w:p>
    <w:p w14:paraId="0B796932" w14:textId="77777777" w:rsidR="00536F2C" w:rsidRPr="007F2C0E" w:rsidRDefault="00536F2C" w:rsidP="007F2C0E">
      <w:pPr>
        <w:rPr>
          <w:rStyle w:val="normaltextrun"/>
          <w:rFonts w:ascii="Verdana" w:hAnsi="Verdana" w:cs="Segoe UI"/>
          <w:sz w:val="18"/>
          <w:szCs w:val="18"/>
        </w:rPr>
      </w:pPr>
    </w:p>
    <w:p w14:paraId="1B8EBA87" w14:textId="77777777" w:rsidR="00536F2C" w:rsidRPr="007F2C0E" w:rsidRDefault="00536F2C" w:rsidP="007F2C0E">
      <w:pPr>
        <w:rPr>
          <w:rFonts w:cs="Segoe UI"/>
          <w:sz w:val="18"/>
          <w:szCs w:val="18"/>
        </w:rPr>
      </w:pPr>
      <w:r w:rsidRPr="007F2C0E">
        <w:rPr>
          <w:rStyle w:val="eop"/>
          <w:rFonts w:ascii="Verdana" w:hAnsi="Verdana" w:cs="Segoe UI"/>
          <w:color w:val="1F497D"/>
          <w:sz w:val="18"/>
          <w:szCs w:val="18"/>
        </w:rPr>
        <w:t> </w:t>
      </w:r>
    </w:p>
    <w:p w14:paraId="25035B01" w14:textId="77777777" w:rsidR="00536F2C" w:rsidRPr="007F2C0E" w:rsidRDefault="00536F2C" w:rsidP="007F2C0E">
      <w:pPr>
        <w:rPr>
          <w:rFonts w:cs="Segoe UI"/>
          <w:sz w:val="18"/>
          <w:szCs w:val="18"/>
        </w:rPr>
      </w:pPr>
      <w:r w:rsidRPr="007F2C0E">
        <w:rPr>
          <w:rStyle w:val="eop"/>
          <w:rFonts w:ascii="Verdana" w:hAnsi="Verdana" w:cs="Segoe UI"/>
          <w:color w:val="1F497D"/>
          <w:sz w:val="18"/>
          <w:szCs w:val="18"/>
        </w:rPr>
        <w:t> </w:t>
      </w:r>
    </w:p>
    <w:p w14:paraId="47664030" w14:textId="77777777" w:rsidR="00536F2C" w:rsidRPr="007F2C0E" w:rsidRDefault="00536F2C" w:rsidP="007F2C0E">
      <w:pPr>
        <w:rPr>
          <w:rFonts w:cs="Segoe UI"/>
          <w:sz w:val="18"/>
          <w:szCs w:val="18"/>
        </w:rPr>
      </w:pPr>
      <w:r w:rsidRPr="007F2C0E">
        <w:rPr>
          <w:rStyle w:val="eop"/>
          <w:rFonts w:ascii="Verdana" w:hAnsi="Verdana" w:cs="Segoe UI"/>
          <w:color w:val="1F497D"/>
          <w:sz w:val="18"/>
          <w:szCs w:val="18"/>
        </w:rPr>
        <w:t> </w:t>
      </w:r>
    </w:p>
    <w:p w14:paraId="06BEED80" w14:textId="0345EDC1" w:rsidR="00F15E29" w:rsidRPr="007F2C0E" w:rsidRDefault="00F15E29" w:rsidP="007F2C0E">
      <w:pPr>
        <w:rPr>
          <w:sz w:val="18"/>
          <w:szCs w:val="18"/>
          <w:u w:val="single"/>
        </w:rPr>
      </w:pPr>
    </w:p>
    <w:sectPr w:rsidR="00F15E29" w:rsidRPr="007F2C0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0202E" w14:textId="77777777" w:rsidR="00325624" w:rsidRDefault="00325624" w:rsidP="003A5E88">
      <w:pPr>
        <w:spacing w:after="0" w:line="240" w:lineRule="auto"/>
      </w:pPr>
      <w:r>
        <w:separator/>
      </w:r>
    </w:p>
  </w:endnote>
  <w:endnote w:type="continuationSeparator" w:id="0">
    <w:p w14:paraId="390BDFFE" w14:textId="77777777" w:rsidR="00325624" w:rsidRDefault="00325624" w:rsidP="003A5E88">
      <w:pPr>
        <w:spacing w:after="0" w:line="240" w:lineRule="auto"/>
      </w:pPr>
      <w:r>
        <w:continuationSeparator/>
      </w:r>
    </w:p>
  </w:endnote>
  <w:endnote w:type="continuationNotice" w:id="1">
    <w:p w14:paraId="78A91591" w14:textId="77777777" w:rsidR="00325624" w:rsidRDefault="00325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DACDB57" w14:paraId="119A68D7" w14:textId="77777777" w:rsidTr="5DACDB57">
      <w:tc>
        <w:tcPr>
          <w:tcW w:w="3020" w:type="dxa"/>
        </w:tcPr>
        <w:p w14:paraId="1BBA5CF1" w14:textId="6B3F48C2" w:rsidR="5DACDB57" w:rsidRDefault="5DACDB57" w:rsidP="5DACDB57">
          <w:pPr>
            <w:pStyle w:val="Koptekst"/>
            <w:ind w:left="-115"/>
          </w:pPr>
        </w:p>
      </w:tc>
      <w:tc>
        <w:tcPr>
          <w:tcW w:w="3020" w:type="dxa"/>
        </w:tcPr>
        <w:p w14:paraId="4C0BDC26" w14:textId="049EA7FA" w:rsidR="5DACDB57" w:rsidRDefault="5DACDB57" w:rsidP="5DACDB57">
          <w:pPr>
            <w:pStyle w:val="Koptekst"/>
            <w:jc w:val="center"/>
          </w:pPr>
        </w:p>
      </w:tc>
      <w:tc>
        <w:tcPr>
          <w:tcW w:w="3020" w:type="dxa"/>
        </w:tcPr>
        <w:p w14:paraId="714EA79C" w14:textId="59B60727" w:rsidR="5DACDB57" w:rsidRDefault="5DACDB57" w:rsidP="5DACDB57">
          <w:pPr>
            <w:pStyle w:val="Koptekst"/>
            <w:ind w:right="-115"/>
            <w:jc w:val="right"/>
          </w:pPr>
        </w:p>
      </w:tc>
    </w:tr>
  </w:tbl>
  <w:p w14:paraId="52A2B950" w14:textId="7AC9E409" w:rsidR="5DACDB57" w:rsidRDefault="5DACDB57" w:rsidP="5DACDB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8F3D5" w14:textId="77777777" w:rsidR="00325624" w:rsidRDefault="00325624" w:rsidP="003A5E88">
      <w:pPr>
        <w:spacing w:after="0" w:line="240" w:lineRule="auto"/>
      </w:pPr>
      <w:r>
        <w:separator/>
      </w:r>
    </w:p>
  </w:footnote>
  <w:footnote w:type="continuationSeparator" w:id="0">
    <w:p w14:paraId="62389027" w14:textId="77777777" w:rsidR="00325624" w:rsidRDefault="00325624" w:rsidP="003A5E88">
      <w:pPr>
        <w:spacing w:after="0" w:line="240" w:lineRule="auto"/>
      </w:pPr>
      <w:r>
        <w:continuationSeparator/>
      </w:r>
    </w:p>
  </w:footnote>
  <w:footnote w:type="continuationNotice" w:id="1">
    <w:p w14:paraId="089251AD" w14:textId="77777777" w:rsidR="00325624" w:rsidRDefault="00325624">
      <w:pPr>
        <w:spacing w:after="0" w:line="240" w:lineRule="auto"/>
      </w:pPr>
    </w:p>
  </w:footnote>
  <w:footnote w:id="2">
    <w:p w14:paraId="353BA805" w14:textId="1460C4E6" w:rsidR="003A5E88" w:rsidRPr="00C627B8" w:rsidRDefault="003A5E88" w:rsidP="00C627B8">
      <w:pPr>
        <w:spacing w:line="240" w:lineRule="auto"/>
        <w:rPr>
          <w:rFonts w:ascii="Verdana" w:hAnsi="Verdana"/>
          <w:sz w:val="16"/>
          <w:szCs w:val="16"/>
        </w:rPr>
      </w:pPr>
      <w:r w:rsidRPr="00C627B8">
        <w:rPr>
          <w:rStyle w:val="Voetnootmarkering"/>
          <w:rFonts w:ascii="Verdana" w:hAnsi="Verdana"/>
          <w:sz w:val="16"/>
          <w:szCs w:val="16"/>
        </w:rPr>
        <w:footnoteRef/>
      </w:r>
      <w:r w:rsidRPr="00C627B8">
        <w:rPr>
          <w:rFonts w:ascii="Verdana" w:hAnsi="Verdana"/>
          <w:sz w:val="16"/>
          <w:szCs w:val="16"/>
        </w:rPr>
        <w:t xml:space="preserve"> </w:t>
      </w:r>
      <w:r w:rsidRPr="00C627B8">
        <w:rPr>
          <w:rStyle w:val="normaltextrun"/>
          <w:rFonts w:ascii="Verdana" w:hAnsi="Verdana" w:cs="Segoe UI"/>
          <w:sz w:val="16"/>
          <w:szCs w:val="16"/>
        </w:rPr>
        <w:t xml:space="preserve">Let op: het gaat hier niet om het </w:t>
      </w:r>
      <w:r w:rsidR="002574CA">
        <w:rPr>
          <w:rStyle w:val="normaltextrun"/>
          <w:rFonts w:ascii="Verdana" w:hAnsi="Verdana" w:cs="Segoe UI"/>
          <w:sz w:val="16"/>
          <w:szCs w:val="16"/>
        </w:rPr>
        <w:t>‘</w:t>
      </w:r>
      <w:r w:rsidRPr="00C627B8">
        <w:rPr>
          <w:rStyle w:val="normaltextrun"/>
          <w:rFonts w:ascii="Verdana" w:hAnsi="Verdana" w:cs="Segoe UI"/>
          <w:sz w:val="16"/>
          <w:szCs w:val="16"/>
        </w:rPr>
        <w:t xml:space="preserve">dossier bevoegd gezag’ wat </w:t>
      </w:r>
      <w:r w:rsidR="00D0799A">
        <w:rPr>
          <w:rStyle w:val="normaltextrun"/>
          <w:rFonts w:ascii="Verdana" w:hAnsi="Verdana" w:cs="Segoe UI"/>
          <w:sz w:val="16"/>
          <w:szCs w:val="16"/>
        </w:rPr>
        <w:t>de opdrachtgever / kwaliteitsborger aa</w:t>
      </w:r>
      <w:r w:rsidRPr="00C627B8">
        <w:rPr>
          <w:rStyle w:val="normaltextrun"/>
          <w:rFonts w:ascii="Verdana" w:hAnsi="Verdana" w:cs="Segoe UI"/>
          <w:sz w:val="16"/>
          <w:szCs w:val="16"/>
        </w:rPr>
        <w:t xml:space="preserve">n het bevoegd gezag </w:t>
      </w:r>
      <w:r w:rsidR="002574CA">
        <w:rPr>
          <w:rStyle w:val="normaltextrun"/>
          <w:rFonts w:ascii="Verdana" w:hAnsi="Verdana" w:cs="Segoe UI"/>
          <w:sz w:val="16"/>
          <w:szCs w:val="16"/>
        </w:rPr>
        <w:t>moet verstrekken</w:t>
      </w:r>
      <w:r w:rsidRPr="00C627B8">
        <w:rPr>
          <w:rStyle w:val="normaltextrun"/>
          <w:rFonts w:ascii="Verdana" w:hAnsi="Verdana" w:cs="Segoe UI"/>
          <w:sz w:val="16"/>
          <w:szCs w:val="16"/>
        </w:rPr>
        <w:t xml:space="preserve"> voor ingebruikname van het werk.</w:t>
      </w:r>
      <w:r w:rsidRPr="00C627B8">
        <w:rPr>
          <w:rStyle w:val="eop"/>
          <w:rFonts w:ascii="Verdana" w:hAnsi="Verdana" w:cs="Segoe UI"/>
          <w:sz w:val="16"/>
          <w:szCs w:val="16"/>
        </w:rPr>
        <w:t> </w:t>
      </w:r>
    </w:p>
  </w:footnote>
  <w:footnote w:id="3">
    <w:p w14:paraId="13F546F0" w14:textId="6D7107E8" w:rsidR="00070C02" w:rsidRPr="00C627B8" w:rsidRDefault="00070C02" w:rsidP="00C627B8">
      <w:pPr>
        <w:spacing w:line="240" w:lineRule="auto"/>
        <w:rPr>
          <w:rFonts w:ascii="Verdana" w:hAnsi="Verdana" w:cs="Segoe UI"/>
          <w:sz w:val="16"/>
          <w:szCs w:val="16"/>
        </w:rPr>
      </w:pPr>
      <w:r w:rsidRPr="00C627B8">
        <w:rPr>
          <w:rStyle w:val="Voetnootmarkering"/>
          <w:rFonts w:ascii="Verdana" w:hAnsi="Verdana"/>
          <w:sz w:val="16"/>
          <w:szCs w:val="16"/>
        </w:rPr>
        <w:footnoteRef/>
      </w:r>
      <w:r w:rsidRPr="00C627B8">
        <w:rPr>
          <w:rFonts w:ascii="Verdana" w:hAnsi="Verdana"/>
          <w:sz w:val="16"/>
          <w:szCs w:val="16"/>
        </w:rPr>
        <w:t xml:space="preserve"> </w:t>
      </w:r>
      <w:r w:rsidRPr="00C627B8">
        <w:rPr>
          <w:rStyle w:val="normaltextrun"/>
          <w:rFonts w:ascii="Verdana" w:hAnsi="Verdana" w:cs="Segoe UI"/>
          <w:sz w:val="16"/>
          <w:szCs w:val="16"/>
        </w:rPr>
        <w:t>Er is inmiddels een </w:t>
      </w:r>
      <w:r w:rsidRPr="00C627B8">
        <w:rPr>
          <w:rStyle w:val="normaltextrun"/>
          <w:rFonts w:ascii="Verdana" w:hAnsi="Verdana" w:cs="Segoe UI"/>
          <w:color w:val="404040"/>
          <w:sz w:val="16"/>
          <w:szCs w:val="16"/>
        </w:rPr>
        <w:t xml:space="preserve">Praktijkrichtlijn consumentendossier (NPR 8092) in wording, waarin zeer uitgebreid </w:t>
      </w:r>
      <w:r w:rsidR="002C5408" w:rsidRPr="00C627B8">
        <w:rPr>
          <w:rStyle w:val="normaltextrun"/>
          <w:rFonts w:ascii="Verdana" w:hAnsi="Verdana" w:cs="Segoe UI"/>
          <w:color w:val="404040"/>
          <w:sz w:val="16"/>
          <w:szCs w:val="16"/>
        </w:rPr>
        <w:t>wordt beschreven</w:t>
      </w:r>
      <w:r w:rsidRPr="00C627B8">
        <w:rPr>
          <w:rStyle w:val="normaltextrun"/>
          <w:rFonts w:ascii="Verdana" w:hAnsi="Verdana" w:cs="Segoe UI"/>
          <w:color w:val="404040"/>
          <w:sz w:val="16"/>
          <w:szCs w:val="16"/>
        </w:rPr>
        <w:t xml:space="preserve"> welke informatie in het consumentendossier </w:t>
      </w:r>
      <w:r w:rsidR="00BE579E" w:rsidRPr="00C627B8">
        <w:rPr>
          <w:rStyle w:val="normaltextrun"/>
          <w:rFonts w:ascii="Verdana" w:hAnsi="Verdana" w:cs="Segoe UI"/>
          <w:color w:val="404040"/>
          <w:sz w:val="16"/>
          <w:szCs w:val="16"/>
        </w:rPr>
        <w:t>moet worden</w:t>
      </w:r>
      <w:r w:rsidRPr="00C627B8">
        <w:rPr>
          <w:rStyle w:val="normaltextrun"/>
          <w:rFonts w:ascii="Verdana" w:hAnsi="Verdana" w:cs="Segoe UI"/>
          <w:color w:val="404040"/>
          <w:sz w:val="16"/>
          <w:szCs w:val="16"/>
        </w:rPr>
        <w:t xml:space="preserve"> opgenomen. Indien niets in de overeenkomst is bepaald, zal de aannemer aan deze NPR moeten voldoen. </w:t>
      </w:r>
      <w:r w:rsidR="00BE579E" w:rsidRPr="00C627B8">
        <w:rPr>
          <w:rStyle w:val="normaltextrun"/>
          <w:rFonts w:ascii="Verdana" w:hAnsi="Verdana" w:cs="Segoe UI"/>
          <w:color w:val="404040"/>
          <w:sz w:val="16"/>
          <w:szCs w:val="16"/>
        </w:rPr>
        <w:t xml:space="preserve">Als de aannemer dat niet wenst, is het advies om een van beide </w:t>
      </w:r>
      <w:r w:rsidR="00C627B8" w:rsidRPr="00C627B8">
        <w:rPr>
          <w:rStyle w:val="normaltextrun"/>
          <w:rFonts w:ascii="Verdana" w:hAnsi="Verdana" w:cs="Segoe UI"/>
          <w:color w:val="404040"/>
          <w:sz w:val="16"/>
          <w:szCs w:val="16"/>
        </w:rPr>
        <w:t>clausules te gebruiken.</w:t>
      </w:r>
    </w:p>
    <w:p w14:paraId="59B841AB" w14:textId="43AF1A63" w:rsidR="00070C02" w:rsidRDefault="00070C02">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DACDB57" w14:paraId="5F266A28" w14:textId="77777777" w:rsidTr="5DACDB57">
      <w:tc>
        <w:tcPr>
          <w:tcW w:w="3020" w:type="dxa"/>
        </w:tcPr>
        <w:p w14:paraId="605C5BF3" w14:textId="3DF71805" w:rsidR="5DACDB57" w:rsidRDefault="5DACDB57" w:rsidP="5DACDB57">
          <w:pPr>
            <w:pStyle w:val="Koptekst"/>
            <w:ind w:left="-115"/>
          </w:pPr>
        </w:p>
      </w:tc>
      <w:tc>
        <w:tcPr>
          <w:tcW w:w="3020" w:type="dxa"/>
        </w:tcPr>
        <w:p w14:paraId="25119279" w14:textId="58A8C6B4" w:rsidR="5DACDB57" w:rsidRDefault="5DACDB57" w:rsidP="5DACDB57">
          <w:pPr>
            <w:pStyle w:val="Koptekst"/>
            <w:jc w:val="center"/>
          </w:pPr>
        </w:p>
      </w:tc>
      <w:tc>
        <w:tcPr>
          <w:tcW w:w="3020" w:type="dxa"/>
        </w:tcPr>
        <w:p w14:paraId="7B32C4A7" w14:textId="738FA0F1" w:rsidR="5DACDB57" w:rsidRDefault="5DACDB57" w:rsidP="5DACDB57">
          <w:pPr>
            <w:pStyle w:val="Koptekst"/>
            <w:ind w:right="-115"/>
            <w:jc w:val="right"/>
          </w:pPr>
        </w:p>
      </w:tc>
    </w:tr>
  </w:tbl>
  <w:p w14:paraId="11294A55" w14:textId="7712345D" w:rsidR="5DACDB57" w:rsidRDefault="5DACDB57" w:rsidP="5DACDB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48B2"/>
    <w:multiLevelType w:val="hybridMultilevel"/>
    <w:tmpl w:val="76F06986"/>
    <w:lvl w:ilvl="0" w:tplc="454244DE">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F5"/>
    <w:rsid w:val="00046B0C"/>
    <w:rsid w:val="00070C02"/>
    <w:rsid w:val="000816B2"/>
    <w:rsid w:val="000918DB"/>
    <w:rsid w:val="000F073F"/>
    <w:rsid w:val="00103C9F"/>
    <w:rsid w:val="001073BE"/>
    <w:rsid w:val="002174E7"/>
    <w:rsid w:val="0024445B"/>
    <w:rsid w:val="002574CA"/>
    <w:rsid w:val="002C5408"/>
    <w:rsid w:val="00325624"/>
    <w:rsid w:val="0033713A"/>
    <w:rsid w:val="003A5E88"/>
    <w:rsid w:val="00431429"/>
    <w:rsid w:val="00451B5E"/>
    <w:rsid w:val="004555D2"/>
    <w:rsid w:val="00536F2C"/>
    <w:rsid w:val="005A56DC"/>
    <w:rsid w:val="005A7C50"/>
    <w:rsid w:val="00616CCD"/>
    <w:rsid w:val="00661991"/>
    <w:rsid w:val="00670D9E"/>
    <w:rsid w:val="00691AED"/>
    <w:rsid w:val="006E15EB"/>
    <w:rsid w:val="006F1A49"/>
    <w:rsid w:val="006F4847"/>
    <w:rsid w:val="00753141"/>
    <w:rsid w:val="00776CEE"/>
    <w:rsid w:val="007C7EF5"/>
    <w:rsid w:val="007F2C0E"/>
    <w:rsid w:val="008014A8"/>
    <w:rsid w:val="008068FF"/>
    <w:rsid w:val="008942A0"/>
    <w:rsid w:val="00895179"/>
    <w:rsid w:val="008A78DF"/>
    <w:rsid w:val="008F0009"/>
    <w:rsid w:val="008F4262"/>
    <w:rsid w:val="008F5920"/>
    <w:rsid w:val="00917297"/>
    <w:rsid w:val="009B3300"/>
    <w:rsid w:val="00A46648"/>
    <w:rsid w:val="00A61CE8"/>
    <w:rsid w:val="00B22C25"/>
    <w:rsid w:val="00B87DEE"/>
    <w:rsid w:val="00BC5FD4"/>
    <w:rsid w:val="00BE579E"/>
    <w:rsid w:val="00C4704F"/>
    <w:rsid w:val="00C627B8"/>
    <w:rsid w:val="00C8357A"/>
    <w:rsid w:val="00C8609F"/>
    <w:rsid w:val="00C96A67"/>
    <w:rsid w:val="00CD013C"/>
    <w:rsid w:val="00CD6034"/>
    <w:rsid w:val="00D04320"/>
    <w:rsid w:val="00D0799A"/>
    <w:rsid w:val="00DD1470"/>
    <w:rsid w:val="00DD2C3A"/>
    <w:rsid w:val="00E267A4"/>
    <w:rsid w:val="00E616A1"/>
    <w:rsid w:val="00E77E25"/>
    <w:rsid w:val="00E914D7"/>
    <w:rsid w:val="00EB3D7D"/>
    <w:rsid w:val="00EB4C49"/>
    <w:rsid w:val="00F15E29"/>
    <w:rsid w:val="00F72FB4"/>
    <w:rsid w:val="00F9314A"/>
    <w:rsid w:val="00FC4988"/>
    <w:rsid w:val="00FE4039"/>
    <w:rsid w:val="00FE6767"/>
    <w:rsid w:val="5DACDB57"/>
    <w:rsid w:val="612319B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B912"/>
  <w15:chartTrackingRefBased/>
  <w15:docId w15:val="{737D65D6-126F-4D2D-A822-D982C6D7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7EF5"/>
    <w:pPr>
      <w:spacing w:after="200" w:line="276" w:lineRule="auto"/>
    </w:pPr>
    <w:rPr>
      <w:rFonts w:ascii="Calibri" w:eastAsia="Calibri" w:hAnsi="Calibri" w:cs="Times New Roman"/>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16A1"/>
    <w:pPr>
      <w:ind w:left="720"/>
      <w:contextualSpacing/>
    </w:pPr>
  </w:style>
  <w:style w:type="paragraph" w:customStyle="1" w:styleId="paragraph">
    <w:name w:val="paragraph"/>
    <w:basedOn w:val="Standaard"/>
    <w:rsid w:val="00536F2C"/>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536F2C"/>
  </w:style>
  <w:style w:type="character" w:customStyle="1" w:styleId="eop">
    <w:name w:val="eop"/>
    <w:basedOn w:val="Standaardalinea-lettertype"/>
    <w:rsid w:val="00536F2C"/>
  </w:style>
  <w:style w:type="paragraph" w:styleId="Voetnoottekst">
    <w:name w:val="footnote text"/>
    <w:basedOn w:val="Standaard"/>
    <w:link w:val="VoetnoottekstChar"/>
    <w:uiPriority w:val="99"/>
    <w:semiHidden/>
    <w:unhideWhenUsed/>
    <w:rsid w:val="003A5E8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A5E88"/>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3A5E88"/>
    <w:rPr>
      <w:vertAlign w:val="superscript"/>
    </w:rPr>
  </w:style>
  <w:style w:type="table" w:styleId="Tabelraster">
    <w:name w:val="Table Grid"/>
    <w:basedOn w:val="Standaardtabel"/>
    <w:uiPriority w:val="39"/>
    <w:rsid w:val="00081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001876">
      <w:bodyDiv w:val="1"/>
      <w:marLeft w:val="0"/>
      <w:marRight w:val="0"/>
      <w:marTop w:val="0"/>
      <w:marBottom w:val="0"/>
      <w:divBdr>
        <w:top w:val="none" w:sz="0" w:space="0" w:color="auto"/>
        <w:left w:val="none" w:sz="0" w:space="0" w:color="auto"/>
        <w:bottom w:val="none" w:sz="0" w:space="0" w:color="auto"/>
        <w:right w:val="none" w:sz="0" w:space="0" w:color="auto"/>
      </w:divBdr>
      <w:divsChild>
        <w:div w:id="254246577">
          <w:marLeft w:val="0"/>
          <w:marRight w:val="0"/>
          <w:marTop w:val="0"/>
          <w:marBottom w:val="0"/>
          <w:divBdr>
            <w:top w:val="none" w:sz="0" w:space="0" w:color="auto"/>
            <w:left w:val="none" w:sz="0" w:space="0" w:color="auto"/>
            <w:bottom w:val="none" w:sz="0" w:space="0" w:color="auto"/>
            <w:right w:val="none" w:sz="0" w:space="0" w:color="auto"/>
          </w:divBdr>
        </w:div>
        <w:div w:id="427316671">
          <w:marLeft w:val="0"/>
          <w:marRight w:val="0"/>
          <w:marTop w:val="0"/>
          <w:marBottom w:val="0"/>
          <w:divBdr>
            <w:top w:val="none" w:sz="0" w:space="0" w:color="auto"/>
            <w:left w:val="none" w:sz="0" w:space="0" w:color="auto"/>
            <w:bottom w:val="none" w:sz="0" w:space="0" w:color="auto"/>
            <w:right w:val="none" w:sz="0" w:space="0" w:color="auto"/>
          </w:divBdr>
        </w:div>
        <w:div w:id="511258301">
          <w:marLeft w:val="0"/>
          <w:marRight w:val="0"/>
          <w:marTop w:val="0"/>
          <w:marBottom w:val="0"/>
          <w:divBdr>
            <w:top w:val="none" w:sz="0" w:space="0" w:color="auto"/>
            <w:left w:val="none" w:sz="0" w:space="0" w:color="auto"/>
            <w:bottom w:val="none" w:sz="0" w:space="0" w:color="auto"/>
            <w:right w:val="none" w:sz="0" w:space="0" w:color="auto"/>
          </w:divBdr>
        </w:div>
        <w:div w:id="669406164">
          <w:marLeft w:val="0"/>
          <w:marRight w:val="0"/>
          <w:marTop w:val="0"/>
          <w:marBottom w:val="0"/>
          <w:divBdr>
            <w:top w:val="none" w:sz="0" w:space="0" w:color="auto"/>
            <w:left w:val="none" w:sz="0" w:space="0" w:color="auto"/>
            <w:bottom w:val="none" w:sz="0" w:space="0" w:color="auto"/>
            <w:right w:val="none" w:sz="0" w:space="0" w:color="auto"/>
          </w:divBdr>
        </w:div>
        <w:div w:id="782504687">
          <w:marLeft w:val="0"/>
          <w:marRight w:val="0"/>
          <w:marTop w:val="0"/>
          <w:marBottom w:val="0"/>
          <w:divBdr>
            <w:top w:val="none" w:sz="0" w:space="0" w:color="auto"/>
            <w:left w:val="none" w:sz="0" w:space="0" w:color="auto"/>
            <w:bottom w:val="none" w:sz="0" w:space="0" w:color="auto"/>
            <w:right w:val="none" w:sz="0" w:space="0" w:color="auto"/>
          </w:divBdr>
        </w:div>
        <w:div w:id="949358704">
          <w:marLeft w:val="0"/>
          <w:marRight w:val="0"/>
          <w:marTop w:val="0"/>
          <w:marBottom w:val="0"/>
          <w:divBdr>
            <w:top w:val="none" w:sz="0" w:space="0" w:color="auto"/>
            <w:left w:val="none" w:sz="0" w:space="0" w:color="auto"/>
            <w:bottom w:val="none" w:sz="0" w:space="0" w:color="auto"/>
            <w:right w:val="none" w:sz="0" w:space="0" w:color="auto"/>
          </w:divBdr>
        </w:div>
        <w:div w:id="1249803777">
          <w:marLeft w:val="0"/>
          <w:marRight w:val="0"/>
          <w:marTop w:val="0"/>
          <w:marBottom w:val="0"/>
          <w:divBdr>
            <w:top w:val="none" w:sz="0" w:space="0" w:color="auto"/>
            <w:left w:val="none" w:sz="0" w:space="0" w:color="auto"/>
            <w:bottom w:val="none" w:sz="0" w:space="0" w:color="auto"/>
            <w:right w:val="none" w:sz="0" w:space="0" w:color="auto"/>
          </w:divBdr>
        </w:div>
        <w:div w:id="2022392521">
          <w:marLeft w:val="0"/>
          <w:marRight w:val="0"/>
          <w:marTop w:val="0"/>
          <w:marBottom w:val="0"/>
          <w:divBdr>
            <w:top w:val="none" w:sz="0" w:space="0" w:color="auto"/>
            <w:left w:val="none" w:sz="0" w:space="0" w:color="auto"/>
            <w:bottom w:val="none" w:sz="0" w:space="0" w:color="auto"/>
            <w:right w:val="none" w:sz="0" w:space="0" w:color="auto"/>
          </w:divBdr>
        </w:div>
        <w:div w:id="2147115203">
          <w:marLeft w:val="0"/>
          <w:marRight w:val="0"/>
          <w:marTop w:val="0"/>
          <w:marBottom w:val="0"/>
          <w:divBdr>
            <w:top w:val="none" w:sz="0" w:space="0" w:color="auto"/>
            <w:left w:val="none" w:sz="0" w:space="0" w:color="auto"/>
            <w:bottom w:val="none" w:sz="0" w:space="0" w:color="auto"/>
            <w:right w:val="none" w:sz="0" w:space="0" w:color="auto"/>
          </w:divBdr>
        </w:div>
      </w:divsChild>
    </w:div>
    <w:div w:id="197829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F07DE5915DAE4B868C87A58288F195" ma:contentTypeVersion="6" ma:contentTypeDescription="Een nieuw document maken." ma:contentTypeScope="" ma:versionID="0633ac2088e32abcc3659fa19bd50fa2">
  <xsd:schema xmlns:xsd="http://www.w3.org/2001/XMLSchema" xmlns:xs="http://www.w3.org/2001/XMLSchema" xmlns:p="http://schemas.microsoft.com/office/2006/metadata/properties" xmlns:ns2="6f256740-143d-4cea-93dc-250dfeec964b" xmlns:ns3="aad07753-a19f-436c-b5c9-20e0a8635198" targetNamespace="http://schemas.microsoft.com/office/2006/metadata/properties" ma:root="true" ma:fieldsID="e7572568eeef74b662c101e518cd3171" ns2:_="" ns3:_="">
    <xsd:import namespace="6f256740-143d-4cea-93dc-250dfeec964b"/>
    <xsd:import namespace="aad07753-a19f-436c-b5c9-20e0a86351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56740-143d-4cea-93dc-250dfeec9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d07753-a19f-436c-b5c9-20e0a8635198"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4A2DB-AF27-45FA-92F4-9B3D1F67E48B}">
  <ds:schemaRefs>
    <ds:schemaRef ds:uri="http://schemas.microsoft.com/sharepoint/v3/contenttype/forms"/>
  </ds:schemaRefs>
</ds:datastoreItem>
</file>

<file path=customXml/itemProps2.xml><?xml version="1.0" encoding="utf-8"?>
<ds:datastoreItem xmlns:ds="http://schemas.openxmlformats.org/officeDocument/2006/customXml" ds:itemID="{4F62ABD3-430F-4A67-9EA9-53D3C1225C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5177BC-F1F7-4432-8EEF-54839999B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56740-143d-4cea-93dc-250dfeec964b"/>
    <ds:schemaRef ds:uri="aad07753-a19f-436c-b5c9-20e0a8635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35884C-A2D4-4E04-BB8B-BB84E497E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2423</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 Uittenbogaard</dc:creator>
  <cp:keywords/>
  <dc:description/>
  <cp:lastModifiedBy>Ruud Ijtsma</cp:lastModifiedBy>
  <cp:revision>2</cp:revision>
  <dcterms:created xsi:type="dcterms:W3CDTF">2022-02-23T15:34:00Z</dcterms:created>
  <dcterms:modified xsi:type="dcterms:W3CDTF">2022-02-23T15:34:00Z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0x0101001BF07DE5915DAE4B868C87A58288F195</vt:lpwstr>
  </property>
</Properties>
</file>